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DC33" w14:textId="77777777" w:rsidR="001D0FF1" w:rsidRDefault="004C5CBD" w:rsidP="0026701A">
      <w:pPr>
        <w:keepNext/>
        <w:keepLines/>
        <w:pageBreakBefore/>
        <w:rPr>
          <w:b/>
          <w:sz w:val="24"/>
          <w:u w:val="single"/>
        </w:rPr>
      </w:pPr>
      <w:r w:rsidRPr="004C5CBD">
        <w:rPr>
          <w:b/>
          <w:sz w:val="24"/>
          <w:u w:val="single"/>
        </w:rPr>
        <w:t>LUMP SUM GRADING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17E4C6AF" w14:textId="77777777" w:rsidTr="00A10045">
        <w:tc>
          <w:tcPr>
            <w:tcW w:w="3192" w:type="dxa"/>
          </w:tcPr>
          <w:p w14:paraId="48695B4E" w14:textId="121EAEF6" w:rsidR="00A10045" w:rsidRPr="00A10045" w:rsidRDefault="00793F19" w:rsidP="0026701A">
            <w:pPr>
              <w:keepNext/>
              <w:keepLines/>
              <w:jc w:val="both"/>
              <w:rPr>
                <w:sz w:val="16"/>
                <w:szCs w:val="16"/>
              </w:rPr>
            </w:pPr>
            <w:r>
              <w:rPr>
                <w:sz w:val="16"/>
                <w:szCs w:val="16"/>
              </w:rPr>
              <w:t xml:space="preserve">   </w:t>
            </w:r>
            <w:r w:rsidR="004C5CBD">
              <w:rPr>
                <w:sz w:val="16"/>
                <w:szCs w:val="16"/>
              </w:rPr>
              <w:t>(1-30-14)</w:t>
            </w:r>
            <w:r w:rsidR="009A5F10">
              <w:rPr>
                <w:sz w:val="16"/>
                <w:szCs w:val="16"/>
              </w:rPr>
              <w:t>(Rev. 1-16-24)</w:t>
            </w:r>
          </w:p>
        </w:tc>
        <w:tc>
          <w:tcPr>
            <w:tcW w:w="3192" w:type="dxa"/>
          </w:tcPr>
          <w:p w14:paraId="0CE0A3D1" w14:textId="77777777" w:rsidR="00A10045" w:rsidRPr="00A10045" w:rsidRDefault="004C5CBD" w:rsidP="0026701A">
            <w:pPr>
              <w:keepNext/>
              <w:keepLines/>
              <w:jc w:val="center"/>
              <w:rPr>
                <w:sz w:val="16"/>
                <w:szCs w:val="16"/>
              </w:rPr>
            </w:pPr>
            <w:r>
              <w:rPr>
                <w:sz w:val="16"/>
                <w:szCs w:val="16"/>
              </w:rPr>
              <w:t>226</w:t>
            </w:r>
          </w:p>
        </w:tc>
        <w:tc>
          <w:tcPr>
            <w:tcW w:w="3192" w:type="dxa"/>
          </w:tcPr>
          <w:p w14:paraId="20F952A8" w14:textId="77777777" w:rsidR="00A10045" w:rsidRPr="00A10045" w:rsidRDefault="004C5CBD" w:rsidP="0026701A">
            <w:pPr>
              <w:keepNext/>
              <w:keepLines/>
              <w:jc w:val="right"/>
              <w:rPr>
                <w:sz w:val="16"/>
                <w:szCs w:val="16"/>
              </w:rPr>
            </w:pPr>
            <w:r>
              <w:rPr>
                <w:sz w:val="16"/>
                <w:szCs w:val="16"/>
              </w:rPr>
              <w:t>SPD 02-300</w:t>
            </w:r>
          </w:p>
        </w:tc>
      </w:tr>
    </w:tbl>
    <w:p w14:paraId="3EA6DE46" w14:textId="77777777" w:rsidR="00A10045" w:rsidRPr="0026701A" w:rsidRDefault="00A10045" w:rsidP="0026701A">
      <w:pPr>
        <w:keepNext/>
        <w:keepLines/>
        <w:jc w:val="both"/>
        <w:rPr>
          <w:sz w:val="16"/>
          <w:szCs w:val="16"/>
        </w:rPr>
      </w:pPr>
    </w:p>
    <w:p w14:paraId="22A9EDD6" w14:textId="77777777" w:rsidR="004C5CBD" w:rsidRDefault="004C5CBD" w:rsidP="004C5CBD">
      <w:pPr>
        <w:keepNext/>
        <w:keepLines/>
        <w:jc w:val="both"/>
        <w:rPr>
          <w:b/>
          <w:sz w:val="24"/>
          <w:szCs w:val="24"/>
        </w:rPr>
      </w:pPr>
      <w:r>
        <w:rPr>
          <w:b/>
          <w:sz w:val="24"/>
          <w:szCs w:val="24"/>
        </w:rPr>
        <w:t>Description</w:t>
      </w:r>
    </w:p>
    <w:p w14:paraId="6C15EC61" w14:textId="77777777" w:rsidR="004C5CBD" w:rsidRDefault="004C5CBD" w:rsidP="004C5CBD">
      <w:pPr>
        <w:keepNext/>
        <w:keepLines/>
        <w:tabs>
          <w:tab w:val="left" w:pos="720"/>
        </w:tabs>
        <w:jc w:val="both"/>
        <w:rPr>
          <w:sz w:val="24"/>
          <w:szCs w:val="24"/>
        </w:rPr>
      </w:pPr>
    </w:p>
    <w:p w14:paraId="201A2393" w14:textId="55CDA2C7" w:rsidR="004C5CBD" w:rsidRPr="004C5CBD" w:rsidRDefault="004C5CBD" w:rsidP="004C5CBD">
      <w:pPr>
        <w:tabs>
          <w:tab w:val="left" w:pos="720"/>
        </w:tabs>
        <w:ind w:right="-144"/>
        <w:jc w:val="both"/>
        <w:rPr>
          <w:sz w:val="24"/>
          <w:szCs w:val="24"/>
        </w:rPr>
      </w:pPr>
      <w:r>
        <w:rPr>
          <w:sz w:val="24"/>
          <w:szCs w:val="24"/>
        </w:rPr>
        <w:t xml:space="preserve">Grade the project to the typical sections and details shown.  Grading shall be comprehensive grading as defined in Section 226 of the </w:t>
      </w:r>
      <w:r>
        <w:rPr>
          <w:i/>
          <w:sz w:val="24"/>
          <w:szCs w:val="24"/>
        </w:rPr>
        <w:t xml:space="preserve">Standard </w:t>
      </w:r>
      <w:r w:rsidRPr="004C5CBD">
        <w:rPr>
          <w:i/>
          <w:sz w:val="24"/>
          <w:szCs w:val="24"/>
        </w:rPr>
        <w:t>Specifications</w:t>
      </w:r>
      <w:r w:rsidRPr="004C5CBD">
        <w:rPr>
          <w:sz w:val="24"/>
          <w:szCs w:val="24"/>
        </w:rPr>
        <w:t>, and shall include clearing and grubbing; all excavation within the area of the Typical Sections</w:t>
      </w:r>
      <w:r>
        <w:rPr>
          <w:sz w:val="24"/>
          <w:szCs w:val="24"/>
        </w:rPr>
        <w:t>,</w:t>
      </w:r>
      <w:r w:rsidRPr="004C5CBD">
        <w:rPr>
          <w:sz w:val="24"/>
          <w:szCs w:val="24"/>
        </w:rPr>
        <w:t xml:space="preserve"> including borrow, unclassified, and undercut excavation; construction of embankments, subgrade, and shoulders; construction of all intersecting roads and drives; the construction of all ditches within the area of the right of way or easements; all drainage ditch excavation; all silt excavation; removal, resetting, and maintenance of all mailboxes; removal and disposal of existing pavement, cross-line and driveway pipe, concrete and asphalt driveways; the disposal of any other unsuitable material in a waste area provided by the contractor; the loading, hauling, placement, shaping, and compaction of any excavated earth material; backfilling with a suitable material of all structures, and pavement removal.</w:t>
      </w:r>
    </w:p>
    <w:p w14:paraId="25D38C41" w14:textId="77777777" w:rsidR="004C5CBD" w:rsidRDefault="004C5CBD" w:rsidP="004C5CBD">
      <w:pPr>
        <w:jc w:val="both"/>
        <w:rPr>
          <w:sz w:val="24"/>
          <w:szCs w:val="24"/>
        </w:rPr>
      </w:pPr>
    </w:p>
    <w:p w14:paraId="3FB868E3" w14:textId="77777777" w:rsidR="004C5CBD" w:rsidRDefault="004C5CBD" w:rsidP="004C5CBD">
      <w:pPr>
        <w:keepNext/>
        <w:keepLines/>
        <w:jc w:val="both"/>
        <w:rPr>
          <w:b/>
          <w:sz w:val="24"/>
          <w:szCs w:val="24"/>
        </w:rPr>
      </w:pPr>
      <w:r>
        <w:rPr>
          <w:b/>
          <w:sz w:val="24"/>
          <w:szCs w:val="24"/>
        </w:rPr>
        <w:t>Construction Method</w:t>
      </w:r>
    </w:p>
    <w:p w14:paraId="209CAD0D" w14:textId="77777777" w:rsidR="004C5CBD" w:rsidRDefault="004C5CBD" w:rsidP="004C5CBD">
      <w:pPr>
        <w:keepNext/>
        <w:keepLines/>
        <w:jc w:val="both"/>
        <w:rPr>
          <w:sz w:val="24"/>
          <w:szCs w:val="24"/>
        </w:rPr>
      </w:pPr>
    </w:p>
    <w:p w14:paraId="35A7845F" w14:textId="77777777" w:rsidR="004C5CBD" w:rsidRDefault="004C5CBD" w:rsidP="004C5CBD">
      <w:pPr>
        <w:jc w:val="both"/>
        <w:rPr>
          <w:sz w:val="24"/>
          <w:szCs w:val="24"/>
        </w:rPr>
      </w:pPr>
      <w:r>
        <w:rPr>
          <w:sz w:val="24"/>
          <w:szCs w:val="24"/>
        </w:rPr>
        <w:t xml:space="preserve">Dispose of any waste material and/or furnish any borrow material needed.  Borrow quantity for this project is estimated at </w:t>
      </w:r>
      <w:r>
        <w:rPr>
          <w:sz w:val="24"/>
          <w:szCs w:val="24"/>
          <w:u w:val="single"/>
        </w:rPr>
        <w:fldChar w:fldCharType="begin"/>
      </w:r>
      <w:r>
        <w:rPr>
          <w:sz w:val="24"/>
          <w:szCs w:val="24"/>
          <w:u w:val="single"/>
        </w:rPr>
        <w:instrText xml:space="preserve"> FILLIN  "amount of borrow" \o  \* MERGEFORMAT </w:instrText>
      </w:r>
      <w:r>
        <w:rPr>
          <w:sz w:val="24"/>
          <w:szCs w:val="24"/>
          <w:u w:val="single"/>
        </w:rPr>
        <w:fldChar w:fldCharType="separate"/>
      </w:r>
      <w:r>
        <w:rPr>
          <w:sz w:val="24"/>
          <w:szCs w:val="24"/>
          <w:u w:val="single"/>
        </w:rPr>
        <w:t>____</w:t>
      </w:r>
      <w:r>
        <w:rPr>
          <w:sz w:val="24"/>
          <w:szCs w:val="24"/>
          <w:u w:val="single"/>
        </w:rPr>
        <w:fldChar w:fldCharType="end"/>
      </w:r>
      <w:r>
        <w:rPr>
          <w:sz w:val="24"/>
          <w:szCs w:val="24"/>
        </w:rPr>
        <w:t xml:space="preserve"> cubic yards.  The Contractor should make his own determination of borrow quantities.  No material may be wasted or removed from the project unless approved by the Engineer.</w:t>
      </w:r>
    </w:p>
    <w:p w14:paraId="768DF046" w14:textId="77777777" w:rsidR="004C5CBD" w:rsidRDefault="004C5CBD" w:rsidP="004C5CBD">
      <w:pPr>
        <w:jc w:val="both"/>
        <w:rPr>
          <w:sz w:val="24"/>
          <w:szCs w:val="24"/>
        </w:rPr>
      </w:pPr>
    </w:p>
    <w:p w14:paraId="3E479D5F" w14:textId="77777777" w:rsidR="004C5CBD" w:rsidRDefault="004C5CBD" w:rsidP="004C5CBD">
      <w:pPr>
        <w:jc w:val="both"/>
        <w:rPr>
          <w:sz w:val="24"/>
          <w:szCs w:val="24"/>
        </w:rPr>
      </w:pPr>
      <w:r>
        <w:rPr>
          <w:sz w:val="24"/>
          <w:szCs w:val="24"/>
        </w:rPr>
        <w:t>Shape, compact, and grade the slopes, ditches, subgrade and shoulders to the lines, grades, and typical sections established by the plans or as directed by the Engineer.  Roadway ditches shall be cleaned, reshaped, and maintained until final acceptance of the project.  Drainage adequate for the protection of the subgrade shall be provided at all times. Grading shall include shaping all disturbed areas to facilitate drainage, prevent the impoundment of water, and dressing all areas to a condition suitable for seeding and mulching by the Contractor.  Previously approved subgrade that is damaged by natural causes, construction or hauling equipment, or traffic, shall be restored to the required lines, grades, typical sections, and densities at no expense to the Department.</w:t>
      </w:r>
    </w:p>
    <w:p w14:paraId="5C6D2DBC" w14:textId="77777777" w:rsidR="004C5CBD" w:rsidRDefault="004C5CBD" w:rsidP="004C5CBD">
      <w:pPr>
        <w:jc w:val="both"/>
        <w:rPr>
          <w:sz w:val="24"/>
          <w:szCs w:val="24"/>
        </w:rPr>
      </w:pPr>
    </w:p>
    <w:p w14:paraId="63807889" w14:textId="28BC52F6" w:rsidR="004C5CBD" w:rsidRDefault="004C5CBD" w:rsidP="004C5CBD">
      <w:pPr>
        <w:jc w:val="both"/>
        <w:rPr>
          <w:sz w:val="24"/>
          <w:szCs w:val="24"/>
        </w:rPr>
      </w:pPr>
      <w:r>
        <w:rPr>
          <w:sz w:val="24"/>
          <w:szCs w:val="24"/>
        </w:rPr>
        <w:t xml:space="preserve">Excavated areas shall be uniformly graded, well compacted, and free of debris and loose material.  Excavated areas adjacent to existing pavement having more than a 2 inch drop from the edge of pavement shall not be left open overnight.  Such areas shall be made safe by the placement of solid material at a 6:1 or flatter slope.  All open areas shall be identified and guarded by adequate traffic control devices as directed and approved by the </w:t>
      </w:r>
      <w:r>
        <w:rPr>
          <w:i/>
          <w:sz w:val="24"/>
          <w:szCs w:val="24"/>
        </w:rPr>
        <w:t>Manual of Uniform Traffic Control Devices</w:t>
      </w:r>
      <w:r>
        <w:rPr>
          <w:sz w:val="24"/>
          <w:szCs w:val="24"/>
          <w:u w:val="single"/>
        </w:rPr>
        <w:t xml:space="preserve"> </w:t>
      </w:r>
      <w:r>
        <w:rPr>
          <w:sz w:val="24"/>
          <w:szCs w:val="24"/>
        </w:rPr>
        <w:t>(MUTCD),</w:t>
      </w:r>
      <w:r>
        <w:rPr>
          <w:i/>
          <w:sz w:val="24"/>
          <w:szCs w:val="24"/>
        </w:rPr>
        <w:t xml:space="preserve"> Roadway Standard Drawings</w:t>
      </w:r>
      <w:r>
        <w:rPr>
          <w:sz w:val="24"/>
          <w:szCs w:val="24"/>
        </w:rPr>
        <w:t>, and the Engineer.</w:t>
      </w:r>
    </w:p>
    <w:p w14:paraId="529D078B" w14:textId="77777777" w:rsidR="004C5CBD" w:rsidRDefault="004C5CBD" w:rsidP="004C5CBD">
      <w:pPr>
        <w:jc w:val="both"/>
        <w:rPr>
          <w:sz w:val="24"/>
          <w:szCs w:val="24"/>
        </w:rPr>
      </w:pPr>
    </w:p>
    <w:p w14:paraId="6D374F49" w14:textId="77777777" w:rsidR="004C5CBD" w:rsidRDefault="004C5CBD" w:rsidP="004C5CBD">
      <w:pPr>
        <w:jc w:val="both"/>
        <w:rPr>
          <w:sz w:val="24"/>
          <w:szCs w:val="24"/>
        </w:rPr>
      </w:pPr>
      <w:r>
        <w:rPr>
          <w:sz w:val="24"/>
          <w:szCs w:val="24"/>
        </w:rPr>
        <w:t>Remove and satisfactorily dispose of vegetation and debris from within the project limits.  All waste disposal shall be in accordance with state, federal and local regulations regarding the disposal of waste material.  All permits and fees for any such disposal shall be the responsibility of the Contractor, and the Department shall not be held liable for disposal of any materials outside the project right of way.</w:t>
      </w:r>
    </w:p>
    <w:p w14:paraId="7DE9A405" w14:textId="77777777" w:rsidR="004C5CBD" w:rsidRDefault="004C5CBD" w:rsidP="004C5CBD">
      <w:pPr>
        <w:rPr>
          <w:sz w:val="24"/>
          <w:szCs w:val="24"/>
        </w:rPr>
      </w:pPr>
    </w:p>
    <w:p w14:paraId="07464171" w14:textId="77777777" w:rsidR="004C5CBD" w:rsidRDefault="004C5CBD" w:rsidP="004C5CBD">
      <w:pPr>
        <w:keepNext/>
        <w:keepLines/>
        <w:rPr>
          <w:b/>
          <w:sz w:val="24"/>
          <w:szCs w:val="24"/>
        </w:rPr>
      </w:pPr>
      <w:r>
        <w:rPr>
          <w:b/>
          <w:sz w:val="24"/>
          <w:szCs w:val="24"/>
        </w:rPr>
        <w:lastRenderedPageBreak/>
        <w:t>Measurement and Payment</w:t>
      </w:r>
    </w:p>
    <w:p w14:paraId="2D4935A3" w14:textId="77777777" w:rsidR="004C5CBD" w:rsidRDefault="004C5CBD" w:rsidP="004C5CBD">
      <w:pPr>
        <w:keepNext/>
        <w:keepLines/>
        <w:rPr>
          <w:b/>
          <w:sz w:val="24"/>
          <w:szCs w:val="24"/>
        </w:rPr>
      </w:pPr>
    </w:p>
    <w:p w14:paraId="6C9B80C9" w14:textId="77777777" w:rsidR="004C5CBD" w:rsidRDefault="004C5CBD" w:rsidP="004C5CBD">
      <w:pPr>
        <w:jc w:val="both"/>
      </w:pPr>
      <w:r>
        <w:rPr>
          <w:i/>
          <w:sz w:val="24"/>
          <w:szCs w:val="24"/>
        </w:rPr>
        <w:t xml:space="preserve">Grading </w:t>
      </w:r>
      <w:r>
        <w:rPr>
          <w:sz w:val="24"/>
          <w:szCs w:val="24"/>
        </w:rPr>
        <w:t>will be paid in accordance with Article 226-3</w:t>
      </w:r>
      <w:r w:rsidR="00784B7A">
        <w:rPr>
          <w:sz w:val="24"/>
          <w:szCs w:val="24"/>
        </w:rPr>
        <w:t xml:space="preserve"> of the </w:t>
      </w:r>
      <w:r w:rsidR="00784B7A" w:rsidRPr="00784B7A">
        <w:rPr>
          <w:i/>
          <w:sz w:val="24"/>
          <w:szCs w:val="24"/>
        </w:rPr>
        <w:t>Standard Specifications</w:t>
      </w:r>
      <w:r>
        <w:rPr>
          <w:sz w:val="24"/>
          <w:szCs w:val="24"/>
        </w:rPr>
        <w:t xml:space="preserve">.  No separate payment will be made for borrow as it shall be incidental to the comprehensive item </w:t>
      </w:r>
      <w:r w:rsidRPr="004C5CBD">
        <w:rPr>
          <w:i/>
          <w:sz w:val="24"/>
          <w:szCs w:val="24"/>
        </w:rPr>
        <w:t>Grading</w:t>
      </w:r>
      <w:r>
        <w:rPr>
          <w:sz w:val="24"/>
          <w:szCs w:val="24"/>
        </w:rPr>
        <w:t>.</w:t>
      </w:r>
    </w:p>
    <w:p w14:paraId="24A87F4E" w14:textId="77777777" w:rsidR="00FA0975" w:rsidRDefault="00FA0975" w:rsidP="00FA0975">
      <w:pPr>
        <w:jc w:val="both"/>
        <w:rPr>
          <w:sz w:val="24"/>
        </w:rPr>
      </w:pPr>
    </w:p>
    <w:sectPr w:rsid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870CD" w14:textId="77777777" w:rsidR="00DC1DC7" w:rsidRDefault="00DC1DC7">
      <w:r>
        <w:separator/>
      </w:r>
    </w:p>
  </w:endnote>
  <w:endnote w:type="continuationSeparator" w:id="0">
    <w:p w14:paraId="6293AACE" w14:textId="77777777" w:rsidR="00DC1DC7" w:rsidRDefault="00DC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72F3" w14:textId="77777777" w:rsidR="00DC1DC7" w:rsidRDefault="00DC1DC7">
      <w:r>
        <w:separator/>
      </w:r>
    </w:p>
  </w:footnote>
  <w:footnote w:type="continuationSeparator" w:id="0">
    <w:p w14:paraId="0FE2834D" w14:textId="77777777" w:rsidR="00DC1DC7" w:rsidRDefault="00DC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D524"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85EF1"/>
    <w:rsid w:val="00192B1C"/>
    <w:rsid w:val="001A00E7"/>
    <w:rsid w:val="001D0924"/>
    <w:rsid w:val="001D0FF1"/>
    <w:rsid w:val="001F7496"/>
    <w:rsid w:val="00257C6E"/>
    <w:rsid w:val="0026701A"/>
    <w:rsid w:val="002777A8"/>
    <w:rsid w:val="002F52D1"/>
    <w:rsid w:val="002F7FE1"/>
    <w:rsid w:val="0035474F"/>
    <w:rsid w:val="00360DFE"/>
    <w:rsid w:val="003824AF"/>
    <w:rsid w:val="00384414"/>
    <w:rsid w:val="003D50AA"/>
    <w:rsid w:val="004035EA"/>
    <w:rsid w:val="00476AB7"/>
    <w:rsid w:val="004C5CBD"/>
    <w:rsid w:val="005662D8"/>
    <w:rsid w:val="00597BCE"/>
    <w:rsid w:val="005C116E"/>
    <w:rsid w:val="005E6611"/>
    <w:rsid w:val="0063563C"/>
    <w:rsid w:val="00664B87"/>
    <w:rsid w:val="00683FFA"/>
    <w:rsid w:val="006A33DB"/>
    <w:rsid w:val="006B680D"/>
    <w:rsid w:val="006D5FA4"/>
    <w:rsid w:val="0072186B"/>
    <w:rsid w:val="00744AC9"/>
    <w:rsid w:val="00777AC6"/>
    <w:rsid w:val="00784B7A"/>
    <w:rsid w:val="00790B78"/>
    <w:rsid w:val="0079286C"/>
    <w:rsid w:val="00793F19"/>
    <w:rsid w:val="007D011B"/>
    <w:rsid w:val="007D08E1"/>
    <w:rsid w:val="007D409C"/>
    <w:rsid w:val="007D62DC"/>
    <w:rsid w:val="007E1EB6"/>
    <w:rsid w:val="007E2844"/>
    <w:rsid w:val="00815B91"/>
    <w:rsid w:val="0082257A"/>
    <w:rsid w:val="008401CD"/>
    <w:rsid w:val="00845490"/>
    <w:rsid w:val="00867545"/>
    <w:rsid w:val="008759FA"/>
    <w:rsid w:val="008B4519"/>
    <w:rsid w:val="008B4971"/>
    <w:rsid w:val="008B691C"/>
    <w:rsid w:val="008D1C92"/>
    <w:rsid w:val="009140F3"/>
    <w:rsid w:val="00933BC2"/>
    <w:rsid w:val="009536BD"/>
    <w:rsid w:val="009A5F10"/>
    <w:rsid w:val="009B590B"/>
    <w:rsid w:val="00A10045"/>
    <w:rsid w:val="00A11057"/>
    <w:rsid w:val="00A87877"/>
    <w:rsid w:val="00A92AD8"/>
    <w:rsid w:val="00AA64C6"/>
    <w:rsid w:val="00B0072A"/>
    <w:rsid w:val="00B12057"/>
    <w:rsid w:val="00BE4A23"/>
    <w:rsid w:val="00C55039"/>
    <w:rsid w:val="00C61079"/>
    <w:rsid w:val="00C81338"/>
    <w:rsid w:val="00C81468"/>
    <w:rsid w:val="00CE726C"/>
    <w:rsid w:val="00D512B6"/>
    <w:rsid w:val="00DA3809"/>
    <w:rsid w:val="00DB4096"/>
    <w:rsid w:val="00DC1DC7"/>
    <w:rsid w:val="00DD6FD6"/>
    <w:rsid w:val="00DE0A98"/>
    <w:rsid w:val="00DE7C84"/>
    <w:rsid w:val="00E00F22"/>
    <w:rsid w:val="00E1439A"/>
    <w:rsid w:val="00E520A4"/>
    <w:rsid w:val="00E61E59"/>
    <w:rsid w:val="00E96648"/>
    <w:rsid w:val="00EA58FF"/>
    <w:rsid w:val="00EB6F98"/>
    <w:rsid w:val="00EC3227"/>
    <w:rsid w:val="00F35775"/>
    <w:rsid w:val="00FA0975"/>
    <w:rsid w:val="00FC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94D4A"/>
  <w15:docId w15:val="{1D3A4620-B024-437E-AD2E-27726E78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4A23"/>
  </w:style>
  <w:style w:type="character" w:styleId="CommentReference">
    <w:name w:val="annotation reference"/>
    <w:basedOn w:val="DefaultParagraphFont"/>
    <w:semiHidden/>
    <w:unhideWhenUsed/>
    <w:rsid w:val="00BE4A23"/>
    <w:rPr>
      <w:sz w:val="16"/>
      <w:szCs w:val="16"/>
    </w:rPr>
  </w:style>
  <w:style w:type="paragraph" w:styleId="CommentText">
    <w:name w:val="annotation text"/>
    <w:basedOn w:val="Normal"/>
    <w:link w:val="CommentTextChar"/>
    <w:unhideWhenUsed/>
    <w:rsid w:val="00BE4A23"/>
  </w:style>
  <w:style w:type="character" w:customStyle="1" w:styleId="CommentTextChar">
    <w:name w:val="Comment Text Char"/>
    <w:basedOn w:val="DefaultParagraphFont"/>
    <w:link w:val="CommentText"/>
    <w:rsid w:val="00BE4A23"/>
  </w:style>
  <w:style w:type="paragraph" w:styleId="CommentSubject">
    <w:name w:val="annotation subject"/>
    <w:basedOn w:val="CommentText"/>
    <w:next w:val="CommentText"/>
    <w:link w:val="CommentSubjectChar"/>
    <w:semiHidden/>
    <w:unhideWhenUsed/>
    <w:rsid w:val="00BE4A23"/>
    <w:rPr>
      <w:b/>
      <w:bCs/>
    </w:rPr>
  </w:style>
  <w:style w:type="character" w:customStyle="1" w:styleId="CommentSubjectChar">
    <w:name w:val="Comment Subject Char"/>
    <w:basedOn w:val="CommentTextChar"/>
    <w:link w:val="CommentSubject"/>
    <w:semiHidden/>
    <w:rsid w:val="00BE4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54091646">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vision xmlns="18eea951-c1a4-4244-8cc7-be1efbfe7cb6">Lump Sum Grading </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02 </No_x002e_>
    <_dlc_DocId xmlns="16f00c2e-ac5c-418b-9f13-a0771dbd417d">CONNECT-483-48</_dlc_DocId>
    <_dlc_DocIdUrl xmlns="16f00c2e-ac5c-418b-9f13-a0771dbd417d">
      <Url>https://connect.ncdot.gov/resources/Specifications/_layouts/15/DocIdRedir.aspx?ID=CONNECT-483-48</Url>
      <Description>CONNECT-483-48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5A4FEDB-3BCC-4610-8097-CF57E03D69A3}">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2.xml><?xml version="1.0" encoding="utf-8"?>
<ds:datastoreItem xmlns:ds="http://schemas.openxmlformats.org/officeDocument/2006/customXml" ds:itemID="{10811286-E6E4-4A17-AE1C-7FF37AAC1484}"/>
</file>

<file path=customXml/itemProps3.xml><?xml version="1.0" encoding="utf-8"?>
<ds:datastoreItem xmlns:ds="http://schemas.openxmlformats.org/officeDocument/2006/customXml" ds:itemID="{C2E16442-96D0-4A9C-8ADE-CE6A99B8C6A9}">
  <ds:schemaRefs>
    <ds:schemaRef ds:uri="http://schemas.microsoft.com/sharepoint/v3/contenttype/forms"/>
  </ds:schemaRefs>
</ds:datastoreItem>
</file>

<file path=customXml/itemProps4.xml><?xml version="1.0" encoding="utf-8"?>
<ds:datastoreItem xmlns:ds="http://schemas.openxmlformats.org/officeDocument/2006/customXml" ds:itemID="{D1F1C081-F3AB-415D-86F9-33E79B977B24}">
  <ds:schemaRefs>
    <ds:schemaRef ds:uri="http://schemas.openxmlformats.org/officeDocument/2006/bibliography"/>
  </ds:schemaRefs>
</ds:datastoreItem>
</file>

<file path=customXml/itemProps5.xml><?xml version="1.0" encoding="utf-8"?>
<ds:datastoreItem xmlns:ds="http://schemas.openxmlformats.org/officeDocument/2006/customXml" ds:itemID="{BC504BA9-A1C8-4A9A-9820-DE292A95368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2023-08-22T17:47:00Z</dcterms:created>
  <dcterms:modified xsi:type="dcterms:W3CDTF">2023-08-22T17:56:00Z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4800</vt:r8>
  </property>
  <property fmtid="{D5CDD505-2E9C-101B-9397-08002B2CF9AE}" pid="4" name="_dlc_DocIdItemGuid">
    <vt:lpwstr>00a32283-8a86-42bf-9eac-0ff3a56a9011</vt:lpwstr>
  </property>
</Properties>
</file>